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22" w:type="dxa"/>
        <w:tblLayout w:type="fixed"/>
        <w:tblLook w:val="0000"/>
      </w:tblPr>
      <w:tblGrid>
        <w:gridCol w:w="401"/>
        <w:gridCol w:w="1224"/>
        <w:gridCol w:w="8552"/>
      </w:tblGrid>
      <w:tr w:rsidR="00A63958" w:rsidRPr="00E82B38" w:rsidTr="003E400C">
        <w:trPr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884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3958" w:rsidRDefault="00A63958" w:rsidP="00E8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процессы высшей школы</w:t>
            </w:r>
          </w:p>
          <w:p w:rsidR="00A63958" w:rsidRPr="00E82B38" w:rsidRDefault="00A63958" w:rsidP="00E8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</w:t>
            </w:r>
            <w:r w:rsidRPr="00E82B38">
              <w:rPr>
                <w:rFonts w:ascii="Times New Roman" w:hAnsi="Times New Roman"/>
                <w:b/>
                <w:bCs/>
                <w:sz w:val="24"/>
                <w:szCs w:val="24"/>
              </w:rPr>
              <w:t>руды сотрудников ХТИ)</w:t>
            </w:r>
          </w:p>
          <w:p w:rsidR="00A63958" w:rsidRPr="00E82B38" w:rsidRDefault="00A63958" w:rsidP="00884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3958" w:rsidRPr="00E82B38" w:rsidTr="003E400C">
        <w:trPr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884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74.002в7</w:t>
            </w:r>
          </w:p>
          <w:p w:rsidR="00A63958" w:rsidRPr="00E82B38" w:rsidRDefault="00A63958" w:rsidP="00884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Б 89</w:t>
            </w: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3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Бруштунов, В. Н.</w:t>
            </w:r>
            <w:r w:rsidRPr="00E82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Гуманизация образовательного процесса в технич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ском вузе: монография / В. Н. Бруштунов, [и др.]; ред. Е. В. Танков. - Абакан: Ред.-изд. се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к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тор ХТИ - филиала СФУ, 2013. - 104 с. 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Чз №2(5), Чз №1(6)</w:t>
            </w:r>
            <w:r w:rsidRPr="00E82B3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В монографии рассматриваются актуальные проблемы реформир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российской системы образования и воспитания. Анализируются проце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сы и тенденции, связанные с гуманизацией высшего образования в технических в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у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зах, предлагаются методы решения существующих проблем.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58" w:rsidRPr="00E82B38" w:rsidTr="003E400C">
        <w:trPr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47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74.484.4</w:t>
            </w:r>
          </w:p>
          <w:p w:rsidR="00A63958" w:rsidRPr="00E82B38" w:rsidRDefault="00A63958" w:rsidP="0047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Е 79</w:t>
            </w: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Ерцкина, 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лена</w:t>
            </w: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орисовна</w:t>
            </w: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 Формирование проектно-конструкторской комп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тентности студентов в процессе инженерного образования: автореф. дис. …канд. пед.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ук  / Е. Б. Ерцкина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. - Кемерово, 2009. - 40 с.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СБО.(1)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Одной из компетентностей выпускника технического вуза являе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т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ся проектно-конструкторская компетентность. Однако анализ практики инжене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ного образования показывает, что дисциплины проектировочного цикла, име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ю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щиеся в ГОСТ подготовки инженеров, не в полной мере используют свой п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тенциал в решении проблемы формирования проектно-конструкторской комп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тентности. 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58" w:rsidRPr="00E82B38" w:rsidTr="003E400C">
        <w:trPr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79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65.291.6-18</w:t>
            </w:r>
          </w:p>
          <w:p w:rsidR="00A63958" w:rsidRPr="00E82B38" w:rsidRDefault="00A63958" w:rsidP="0079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О-52</w:t>
            </w: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3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Окунева,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алентина</w:t>
            </w: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емёновна</w:t>
            </w: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82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Формирование компетентности командной 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боты студентов вуза [Электронный ресурс]: автореф.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дис. …канд. пед. наук: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 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С.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Окунева. - Красноярск, 2013.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СБО.(1)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Одним из требований к выпускникам вуза  в соответствии  с  ФГОС  ВПО  в  русле  Концепции  долгосрочного  социально-экономического развития Российской Федерации до 2020  года  является сформированная  ко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м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петентность  командной  работы студентов, определяющая  будущего специал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ста как активного субъекта совместной профе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сиональной деятельности.  Это  связано  с  тем,  что  продукти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в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ное  решение  наукоемких  технико-технологических и социальных проблем  предполагает  необходимость их мн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гоаспектного рассмотрения в совместной деятельности команды профессион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58" w:rsidRPr="00E82B38" w:rsidTr="003E400C">
        <w:trPr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95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65.291.6-18</w:t>
            </w:r>
          </w:p>
          <w:p w:rsidR="00A63958" w:rsidRPr="00E82B38" w:rsidRDefault="00A63958" w:rsidP="0095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О-52</w:t>
            </w: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3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Окунева, В. С.</w:t>
            </w:r>
            <w:r w:rsidRPr="00E82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Формирование компетентности студентов к работе в кома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де: метод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ческие рекомендации / В. С. Окунева. - Абакан: Ред.-изд. сектор ХТИ - филиала СФУ, 2013. - 28 с. 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№3(35), Чз №2(5), Чз №1(5), СБО.(1)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Рассмотрены сущность и особенности системы организации де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я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тельности педагога, связанные с формированием компетентности ст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у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дентов к работе в команде в высшем учебном заведении как фактора, определяющего к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чество подготовки кадров для производства, науки, инновационных стру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к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тур.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58" w:rsidRPr="00E82B38" w:rsidTr="003E400C">
        <w:trPr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47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74.484</w:t>
            </w:r>
          </w:p>
          <w:p w:rsidR="00A63958" w:rsidRPr="00E82B38" w:rsidRDefault="00A63958" w:rsidP="0047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П 27</w:t>
            </w:r>
          </w:p>
          <w:p w:rsidR="00A63958" w:rsidRPr="00E82B38" w:rsidRDefault="00A63958" w:rsidP="00BB4698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3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Перехожева, 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лена </w:t>
            </w: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ладимировна</w:t>
            </w:r>
            <w:r w:rsidRPr="00E82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Формирование профессиональной комп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тентности студентов технических вузов на основе междисциплинарной интегр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ции. [Электронный ресурс]: автореф.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дис. …канд. пед. наук: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Перех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жева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. - Чита: ЗабГГПУ им. Н. Г. Чернышевского, 2012.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СБО.(1)</w:t>
            </w:r>
          </w:p>
          <w:p w:rsidR="00A63958" w:rsidRPr="00E82B38" w:rsidRDefault="00A63958" w:rsidP="003E400C">
            <w:pPr>
              <w:pStyle w:val="BodyTextIndent"/>
              <w:spacing w:line="240" w:lineRule="auto"/>
              <w:ind w:firstLine="0"/>
              <w:rPr>
                <w:sz w:val="24"/>
                <w:szCs w:val="24"/>
              </w:rPr>
            </w:pPr>
            <w:r w:rsidRPr="00E82B38">
              <w:rPr>
                <w:b/>
                <w:sz w:val="24"/>
                <w:szCs w:val="24"/>
              </w:rPr>
              <w:t>Аннотация:</w:t>
            </w:r>
            <w:r w:rsidRPr="00E82B38">
              <w:rPr>
                <w:sz w:val="24"/>
                <w:szCs w:val="24"/>
              </w:rPr>
              <w:t xml:space="preserve"> Актуальной задачей, стоящей сегодня перед высшим професси</w:t>
            </w:r>
            <w:r w:rsidRPr="00E82B38">
              <w:rPr>
                <w:sz w:val="24"/>
                <w:szCs w:val="24"/>
              </w:rPr>
              <w:t>о</w:t>
            </w:r>
            <w:r w:rsidRPr="00E82B38">
              <w:rPr>
                <w:sz w:val="24"/>
                <w:szCs w:val="24"/>
              </w:rPr>
              <w:t>нальным образованием, становится практическая реализация компетентнос</w:t>
            </w:r>
            <w:r w:rsidRPr="00E82B38">
              <w:rPr>
                <w:sz w:val="24"/>
                <w:szCs w:val="24"/>
              </w:rPr>
              <w:t>т</w:t>
            </w:r>
            <w:r w:rsidRPr="00E82B38">
              <w:rPr>
                <w:sz w:val="24"/>
                <w:szCs w:val="24"/>
              </w:rPr>
              <w:t xml:space="preserve">ного подхода. </w:t>
            </w:r>
            <w:r w:rsidRPr="00E82B38">
              <w:rPr>
                <w:spacing w:val="-4"/>
                <w:sz w:val="24"/>
                <w:szCs w:val="24"/>
              </w:rPr>
              <w:t xml:space="preserve">С введением новых образовательных стандартов </w:t>
            </w:r>
            <w:r w:rsidRPr="00E82B38">
              <w:rPr>
                <w:sz w:val="24"/>
                <w:szCs w:val="24"/>
              </w:rPr>
              <w:t>третьего поколения ФГОС ВПО, обеспечивающих взаимосвязь фундаментальной и практич</w:t>
            </w:r>
            <w:r w:rsidRPr="00E82B38">
              <w:rPr>
                <w:sz w:val="24"/>
                <w:szCs w:val="24"/>
              </w:rPr>
              <w:t>е</w:t>
            </w:r>
            <w:r w:rsidRPr="00E82B38">
              <w:rPr>
                <w:sz w:val="24"/>
                <w:szCs w:val="24"/>
              </w:rPr>
              <w:t>ской подготовки, в технических вузах требуется обновление содержания, форм, м</w:t>
            </w:r>
            <w:r w:rsidRPr="00E82B38">
              <w:rPr>
                <w:sz w:val="24"/>
                <w:szCs w:val="24"/>
              </w:rPr>
              <w:t>е</w:t>
            </w:r>
            <w:r w:rsidRPr="00E82B38">
              <w:rPr>
                <w:sz w:val="24"/>
                <w:szCs w:val="24"/>
              </w:rPr>
              <w:t>тодов и средств обучения с позиции компетентностного подхода. Такое обно</w:t>
            </w:r>
            <w:r w:rsidRPr="00E82B38">
              <w:rPr>
                <w:sz w:val="24"/>
                <w:szCs w:val="24"/>
              </w:rPr>
              <w:t>в</w:t>
            </w:r>
            <w:r w:rsidRPr="00E82B38">
              <w:rPr>
                <w:sz w:val="24"/>
                <w:szCs w:val="24"/>
              </w:rPr>
              <w:t>ление должно опираться на исследования когнитивной сущности компетентн</w:t>
            </w:r>
            <w:r w:rsidRPr="00E82B38">
              <w:rPr>
                <w:sz w:val="24"/>
                <w:szCs w:val="24"/>
              </w:rPr>
              <w:t>о</w:t>
            </w:r>
            <w:r w:rsidRPr="00E82B38">
              <w:rPr>
                <w:sz w:val="24"/>
                <w:szCs w:val="24"/>
              </w:rPr>
              <w:t>стного обучения, построение различных педагогических моделей обучения, о</w:t>
            </w:r>
            <w:r w:rsidRPr="00E82B38">
              <w:rPr>
                <w:sz w:val="24"/>
                <w:szCs w:val="24"/>
              </w:rPr>
              <w:t>т</w:t>
            </w:r>
            <w:r w:rsidRPr="00E82B38">
              <w:rPr>
                <w:sz w:val="24"/>
                <w:szCs w:val="24"/>
              </w:rPr>
              <w:t>ражающих междисциплинарные требования к результату образ</w:t>
            </w:r>
            <w:r w:rsidRPr="00E82B38">
              <w:rPr>
                <w:sz w:val="24"/>
                <w:szCs w:val="24"/>
              </w:rPr>
              <w:t>о</w:t>
            </w:r>
            <w:r w:rsidRPr="00E82B38">
              <w:rPr>
                <w:sz w:val="24"/>
                <w:szCs w:val="24"/>
              </w:rPr>
              <w:t>вания.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58" w:rsidRPr="00E82B38" w:rsidTr="003E400C">
        <w:trPr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BB4698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74.480.25(2Рос)</w:t>
            </w:r>
          </w:p>
          <w:p w:rsidR="00A63958" w:rsidRPr="00E82B38" w:rsidRDefault="00A63958" w:rsidP="00BB4698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Т 57</w:t>
            </w: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3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Тонкошкурова, И. В.</w:t>
            </w:r>
            <w:r w:rsidRPr="00E82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Становление профессиональной ментальности инж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нера в образовательном процессе вуза [Электронный ресурс]: авт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реф.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дис. …канд. пед. наук: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 / Тонкошкурова Ирина Викторовна. – Красн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ярск: СФУ, 2013.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СБО.(1)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Период профессионального обучения в вузе связан с формиров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нием у будущих инженеров профессиональных компетенций, профессионал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ь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но важных качеств личности, профессионально-ценностных ориентаций, профе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сионального сознания и самосознания. При этом результат профессионал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ь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ного образования инженера зависит от степени осознания им своих внутренних пр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фессиональных потребностей, целей своей профессиональной подготовки. П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этому данный период можно рассматривать как этап становления професси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нальной ментальности инженера, когда на основе формирующегося техническ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го кругозора и опыта учебно-профессиональной деятельности у студента фо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мируется образ профессии в традиционном и современном  ракурсе,  актуализ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руются  личностно  значимые  смыслы  получения инженерного обр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зования. Это позволяет будущему инженеру формироваться носителем профессионал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ь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ной ментальности, способным «действовать, мыслить, чувствовать, восприн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мать мир под зн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ком своей профессии».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58" w:rsidRPr="00E82B38" w:rsidTr="003E400C">
        <w:trPr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5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74.580.215</w:t>
            </w:r>
          </w:p>
          <w:p w:rsidR="00A63958" w:rsidRPr="00E82B38" w:rsidRDefault="00A63958" w:rsidP="005D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Ш 50</w:t>
            </w: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3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 xml:space="preserve">Шершенева, В. А.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Формирование профессиональной компетентности студе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тов технических вузов на основе междисциплинарной интеграции: мон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графия / В. А. Шершенева, Е. В. Перехожева. - Абакан: Ред.-изд. сектор ХТИ - филиала СФУ, 2013. - 142 с. 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аб.(10), Чз №1(5), Чз №2(5), СБО.(1)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Монография посвящена проблеме формирования профессионал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ь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ной компетентности студентов технических вузов на основе использования междисциплинарной интеграции. Представлены результаты диагн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стики и оценки междисциплинарных связей в учебном процессе на примере одного из направлений подготовки бакалавров. Выявлен комплекс межди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циплинарных связей, который основан на методе получения количественной оценки этих св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я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зей и способствует интеграции вузовских дисциплин.</w:t>
            </w:r>
          </w:p>
          <w:p w:rsidR="00A63958" w:rsidRPr="00E82B38" w:rsidRDefault="00A63958" w:rsidP="003E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58" w:rsidRPr="00E82B38" w:rsidTr="003E400C">
        <w:trPr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3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78.34(2).757.11</w:t>
            </w:r>
          </w:p>
          <w:p w:rsidR="00A63958" w:rsidRPr="00E82B38" w:rsidRDefault="00A63958" w:rsidP="003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Э 45</w:t>
            </w: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3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Электронная библиотека и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современное образование: ресурсы, технол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гии, управл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ние: материалы Всерос. науч.-практ. конф.( 24-28 сент.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82B38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E82B38">
              <w:rPr>
                <w:rFonts w:ascii="Times New Roman" w:hAnsi="Times New Roman"/>
                <w:sz w:val="24"/>
                <w:szCs w:val="24"/>
              </w:rPr>
              <w:t>.) / сост.: В. П. Казанцева, Н. Г. Шевченко; ред. Е. Г. Кривоносова. - Красн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ярск: СФУ, 2013. - 184 с. 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СБО.(1)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Сборник содержит материалы Всероссийской научно-практической конференции, проходившей 24-28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82B38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E82B38">
              <w:rPr>
                <w:rFonts w:ascii="Times New Roman" w:hAnsi="Times New Roman"/>
                <w:sz w:val="24"/>
                <w:szCs w:val="24"/>
              </w:rPr>
              <w:t>. в  г. Красн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ярске, включает доклады участников, стендовые доклады, презентационные материалы участн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ков конфере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A63958" w:rsidRPr="00E82B38" w:rsidTr="003E400C">
        <w:trPr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884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65.291.6-21я73</w:t>
            </w:r>
          </w:p>
          <w:p w:rsidR="00A63958" w:rsidRPr="00E82B38" w:rsidRDefault="00A63958" w:rsidP="00884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Я 66</w:t>
            </w:r>
          </w:p>
          <w:p w:rsidR="00A63958" w:rsidRPr="00E82B38" w:rsidRDefault="00A63958" w:rsidP="00FA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3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Янченко, И. В.</w:t>
            </w:r>
            <w:r w:rsidRPr="00E82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Курс "Моя карьера": Теория и практика формирования карье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ной компетентности студентов в профессиональном образовании: метод. указ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ния / И. В. Янченко. - Абакан: Ред.-изд. сектор ХТИ - ф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лиала СФУ, 2013. - 84 с. 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№3(45), СБО.(1)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Методические указания содержат рекомендации по организ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ции проектной и игровой деятельности студентов в образовательном пр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цессе вуза, оценочно-диагностический комплекс сформированности карьерной компетен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т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ности студентов. 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Предназначены для преподавателей, ориентированных на поиск новых мет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дов, технологий обучения, путей повышения мотивации студентов к получ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нию профессионал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ь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ного образования.</w:t>
            </w:r>
          </w:p>
          <w:p w:rsidR="00A63958" w:rsidRPr="00E82B38" w:rsidRDefault="00A63958" w:rsidP="003E400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3958" w:rsidRPr="00E82B38" w:rsidTr="003E400C">
        <w:trPr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0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09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74.480.25(2Рос)</w:t>
            </w:r>
          </w:p>
          <w:p w:rsidR="00A63958" w:rsidRPr="00E82B38" w:rsidRDefault="00A63958" w:rsidP="0009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Я 66</w:t>
            </w:r>
          </w:p>
          <w:p w:rsidR="00A63958" w:rsidRPr="00E82B38" w:rsidRDefault="00A63958" w:rsidP="000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3958" w:rsidRPr="00E82B38" w:rsidRDefault="00A63958" w:rsidP="003E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Янченко,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нна</w:t>
            </w: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алериевна</w:t>
            </w:r>
            <w:r w:rsidRPr="00E82B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82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Формирование карьерной компетентности студе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н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тов в профессиональном образовании [Электронный ресурс]: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дис. …канд. пед. наук: 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И.В.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Ян</w:t>
            </w:r>
            <w:r>
              <w:rPr>
                <w:rFonts w:ascii="Times New Roman" w:hAnsi="Times New Roman"/>
                <w:sz w:val="24"/>
                <w:szCs w:val="24"/>
              </w:rPr>
              <w:t>ченко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. - Красноярск: СФУ, 2013.</w:t>
            </w:r>
          </w:p>
          <w:p w:rsidR="00A63958" w:rsidRPr="00E82B38" w:rsidRDefault="00A63958" w:rsidP="003E4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СБО.(1)</w:t>
            </w:r>
          </w:p>
          <w:p w:rsidR="00A63958" w:rsidRPr="00E82B38" w:rsidRDefault="00A63958" w:rsidP="003E40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8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 xml:space="preserve"> Формирование  карьерной  компетентности  студентов  в  профе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сиональном образовании требует теоретического обоснования и метод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ческого обеспечения в связи  с  обнаруженным  дефицитом  научных  знаний,  раскр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ы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вающих  педагогическую задачу и роль профессионального образования в фо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мировании данного качества выпускников для осуществления успешной пр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фессиональной деятельности на прот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я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жении всей жизни.</w:t>
            </w:r>
          </w:p>
        </w:tc>
      </w:tr>
    </w:tbl>
    <w:p w:rsidR="00A63958" w:rsidRPr="00E82B38" w:rsidRDefault="00A63958" w:rsidP="00097A9B">
      <w:pPr>
        <w:jc w:val="center"/>
        <w:rPr>
          <w:rFonts w:ascii="Times New Roman" w:hAnsi="Times New Roman"/>
          <w:sz w:val="24"/>
          <w:szCs w:val="24"/>
        </w:rPr>
      </w:pPr>
    </w:p>
    <w:sectPr w:rsidR="00A63958" w:rsidRPr="00E82B38" w:rsidSect="00E82B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58" w:rsidRDefault="00A63958" w:rsidP="00952B73">
      <w:pPr>
        <w:spacing w:after="0" w:line="240" w:lineRule="auto"/>
      </w:pPr>
      <w:r>
        <w:separator/>
      </w:r>
    </w:p>
  </w:endnote>
  <w:endnote w:type="continuationSeparator" w:id="1">
    <w:p w:rsidR="00A63958" w:rsidRDefault="00A63958" w:rsidP="0095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58" w:rsidRDefault="00A63958" w:rsidP="00952B73">
      <w:pPr>
        <w:spacing w:after="0" w:line="240" w:lineRule="auto"/>
      </w:pPr>
      <w:r>
        <w:separator/>
      </w:r>
    </w:p>
  </w:footnote>
  <w:footnote w:type="continuationSeparator" w:id="1">
    <w:p w:rsidR="00A63958" w:rsidRDefault="00A63958" w:rsidP="00952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0E4"/>
    <w:rsid w:val="00025C1E"/>
    <w:rsid w:val="00052F43"/>
    <w:rsid w:val="00086A0F"/>
    <w:rsid w:val="00097A9B"/>
    <w:rsid w:val="000C4944"/>
    <w:rsid w:val="001A7908"/>
    <w:rsid w:val="001D2C1B"/>
    <w:rsid w:val="001E5116"/>
    <w:rsid w:val="0023799B"/>
    <w:rsid w:val="0027072F"/>
    <w:rsid w:val="00297DBE"/>
    <w:rsid w:val="002B372F"/>
    <w:rsid w:val="002C2FBD"/>
    <w:rsid w:val="002D1F20"/>
    <w:rsid w:val="003246C5"/>
    <w:rsid w:val="00340936"/>
    <w:rsid w:val="00346381"/>
    <w:rsid w:val="00371EA3"/>
    <w:rsid w:val="00394997"/>
    <w:rsid w:val="003E400C"/>
    <w:rsid w:val="0040732D"/>
    <w:rsid w:val="004279C0"/>
    <w:rsid w:val="00450662"/>
    <w:rsid w:val="00477AB9"/>
    <w:rsid w:val="004958A9"/>
    <w:rsid w:val="004E006B"/>
    <w:rsid w:val="0053071C"/>
    <w:rsid w:val="00594A2F"/>
    <w:rsid w:val="005B367E"/>
    <w:rsid w:val="005D6943"/>
    <w:rsid w:val="00607515"/>
    <w:rsid w:val="00621B63"/>
    <w:rsid w:val="00622826"/>
    <w:rsid w:val="00654A2E"/>
    <w:rsid w:val="006834D4"/>
    <w:rsid w:val="00690DF5"/>
    <w:rsid w:val="007129DC"/>
    <w:rsid w:val="00723A27"/>
    <w:rsid w:val="007806B6"/>
    <w:rsid w:val="007908E5"/>
    <w:rsid w:val="007B64FB"/>
    <w:rsid w:val="007F4FC8"/>
    <w:rsid w:val="008222B6"/>
    <w:rsid w:val="00856FFF"/>
    <w:rsid w:val="00884D8C"/>
    <w:rsid w:val="008E5834"/>
    <w:rsid w:val="00922048"/>
    <w:rsid w:val="00936386"/>
    <w:rsid w:val="0094661D"/>
    <w:rsid w:val="00952B73"/>
    <w:rsid w:val="00955EEA"/>
    <w:rsid w:val="00957A06"/>
    <w:rsid w:val="009965B9"/>
    <w:rsid w:val="009C31F7"/>
    <w:rsid w:val="00A25278"/>
    <w:rsid w:val="00A508EE"/>
    <w:rsid w:val="00A51A1F"/>
    <w:rsid w:val="00A52CFE"/>
    <w:rsid w:val="00A549A4"/>
    <w:rsid w:val="00A63958"/>
    <w:rsid w:val="00AA118C"/>
    <w:rsid w:val="00AB2ED3"/>
    <w:rsid w:val="00AC3470"/>
    <w:rsid w:val="00AD3247"/>
    <w:rsid w:val="00B370E4"/>
    <w:rsid w:val="00B610FE"/>
    <w:rsid w:val="00B76455"/>
    <w:rsid w:val="00B76B86"/>
    <w:rsid w:val="00BB4698"/>
    <w:rsid w:val="00C03D82"/>
    <w:rsid w:val="00C3527B"/>
    <w:rsid w:val="00CA4DC9"/>
    <w:rsid w:val="00CA5998"/>
    <w:rsid w:val="00CB71D5"/>
    <w:rsid w:val="00CD53AF"/>
    <w:rsid w:val="00D14620"/>
    <w:rsid w:val="00D3697E"/>
    <w:rsid w:val="00DE4D54"/>
    <w:rsid w:val="00E14509"/>
    <w:rsid w:val="00E553C2"/>
    <w:rsid w:val="00E82B38"/>
    <w:rsid w:val="00EE32F4"/>
    <w:rsid w:val="00F02E3D"/>
    <w:rsid w:val="00F8719D"/>
    <w:rsid w:val="00FA557C"/>
    <w:rsid w:val="00FC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E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5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2B73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5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2B73"/>
    <w:rPr>
      <w:rFonts w:eastAsia="Times New Rom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94A2F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4A2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3</Pages>
  <Words>1083</Words>
  <Characters>6177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rogushina</cp:lastModifiedBy>
  <cp:revision>50</cp:revision>
  <dcterms:created xsi:type="dcterms:W3CDTF">2014-02-19T04:58:00Z</dcterms:created>
  <dcterms:modified xsi:type="dcterms:W3CDTF">2014-03-12T01:50:00Z</dcterms:modified>
</cp:coreProperties>
</file>